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color w:val="1F3864"/>
          <w:sz w:val="40"/>
        </w:rPr>
        <w:t>Painel de Sourcing  Sumário Executivo</w:t>
      </w:r>
    </w:p>
    <w:p>
      <w:pPr>
        <w:spacing w:after="200"/>
      </w:pPr>
      <w:r>
        <w:rPr>
          <w:i/>
          <w:color w:val="444444"/>
          <w:sz w:val="22"/>
        </w:rPr>
        <w:t>Proposta de projeto para a área de Compras  |  Claiton Santos  |  14 de agosto de 2026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FF2F2"/>
          </w:tcPr>
          <w:p>
            <w:r/>
            <w:r>
              <w:rPr>
                <w:b/>
                <w:color w:val="C00000"/>
                <w:sz w:val="18"/>
              </w:rPr>
              <w:t>DADOS SIMULADOS  Este material é uma demonstração técnica. Todos os números são fictícios, gerados para exemplificar a modelagem, e NÃO refletem a operação real da Azzas 2154.</w:t>
            </w:r>
          </w:p>
        </w:tc>
      </w:tr>
    </w:tbl>
    <w:p>
      <w:pPr>
        <w:spacing w:after="40"/>
      </w:pPr>
    </w:p>
    <w:p>
      <w:pPr>
        <w:spacing w:before="200" w:after="80"/>
      </w:pPr>
      <w:r>
        <w:rPr>
          <w:b/>
          <w:color w:val="1F3864"/>
          <w:sz w:val="26"/>
        </w:rPr>
        <w:t>O problema</w:t>
      </w:r>
    </w:p>
    <w:p>
      <w:pPr>
        <w:spacing w:after="120"/>
      </w:pPr>
      <w:r>
        <w:rPr>
          <w:b w:val="0"/>
          <w:sz w:val="21"/>
        </w:rPr>
        <w:t>A área de Compras acompanha entregas por planilha e por conversa com o fornecedor. Isso responde "o que chegou hoje?", mas não responde "qual fornecedor me atrasa mais?", "quanto a avaria me custou no ano?" ou "por que este pedido demorou 60 dias?". Sem essas respostas, a negociação com o fornecedor acontece sem base numérica.</w:t>
      </w:r>
    </w:p>
    <w:p>
      <w:pPr>
        <w:spacing w:before="280" w:after="80"/>
      </w:pPr>
      <w:r>
        <w:rPr>
          <w:b/>
          <w:color w:val="1F3864"/>
          <w:sz w:val="26"/>
        </w:rPr>
        <w:t>O que construí</w:t>
      </w:r>
    </w:p>
    <w:p>
      <w:pPr>
        <w:spacing w:after="120"/>
      </w:pPr>
      <w:r>
        <w:rPr>
          <w:b w:val="0"/>
          <w:sz w:val="21"/>
        </w:rPr>
        <w:t>Um painel de Power BI completo, funcionando, com dados simulados: 10 páginas, 50 indicadores, 8 tabelas relacionadas e cerca de 14 mil linhas cobrindo 5 anos (20212026). Cada página responde a uma pergunta de negócio, dos indicadores gerais até o nível de cor e tamanho de cada SKU.</w:t>
      </w:r>
    </w:p>
    <w:p>
      <w:pPr>
        <w:spacing w:before="280" w:after="80"/>
      </w:pPr>
      <w:r>
        <w:rPr>
          <w:b/>
          <w:color w:val="1F3864"/>
          <w:sz w:val="26"/>
        </w:rPr>
        <w:t>O que os dados simulados revelaram</w:t>
      </w:r>
    </w:p>
    <w:p>
      <w:pPr>
        <w:spacing w:after="160"/>
      </w:pPr>
      <w:r>
        <w:rPr>
          <w:b w:val="0"/>
          <w:sz w:val="21"/>
        </w:rPr>
        <w:t>Mesmo com dados fictícios, o painel demonstra o tipo de leitura que ele permitiria fazer com os dados reais: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2268"/>
            <w:shd w:val="clear" w:color="auto" w:fill="1F3864"/>
          </w:tcPr>
          <w:p>
            <w:r/>
            <w:r>
              <w:rPr>
                <w:b/>
                <w:color w:val="FFFFFF"/>
                <w:sz w:val="18"/>
              </w:rPr>
              <w:t>Indicador</w:t>
            </w:r>
          </w:p>
        </w:tc>
        <w:tc>
          <w:tcPr>
            <w:tcW w:type="dxa" w:w="1474"/>
            <w:shd w:val="clear" w:color="auto" w:fill="1F3864"/>
          </w:tcPr>
          <w:p>
            <w:r/>
            <w:r>
              <w:rPr>
                <w:b/>
                <w:color w:val="FFFFFF"/>
                <w:sz w:val="18"/>
              </w:rPr>
              <w:t>Valor</w:t>
            </w:r>
          </w:p>
        </w:tc>
        <w:tc>
          <w:tcPr>
            <w:tcW w:type="dxa" w:w="5896"/>
            <w:shd w:val="clear" w:color="auto" w:fill="1F3864"/>
          </w:tcPr>
          <w:p>
            <w:r/>
            <w:r>
              <w:rPr>
                <w:b/>
                <w:color w:val="FFFFFF"/>
                <w:sz w:val="18"/>
              </w:rPr>
              <w:t>Leitura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% OTIF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  <w:t>77,4%</w:t>
            </w:r>
          </w:p>
        </w:tc>
        <w:tc>
          <w:tcPr>
            <w:tcW w:type="dxa" w:w="5896"/>
          </w:tcPr>
          <w:p>
            <w:r/>
            <w:r>
              <w:rPr>
                <w:sz w:val="18"/>
              </w:rPr>
              <w:t>Cerca de 1 em cada 4 pares recebidos não chegou na data prometida.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Dispersão entre marcas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  <w:t>61,8% a 100%</w:t>
            </w:r>
          </w:p>
        </w:tc>
        <w:tc>
          <w:tcPr>
            <w:tcW w:type="dxa" w:w="5896"/>
          </w:tcPr>
          <w:p>
            <w:r/>
            <w:r>
              <w:rPr>
                <w:sz w:val="18"/>
              </w:rPr>
              <w:t>A pior marca entrega quase 40 pontos abaixo da melhor  o problema é de fornecedor específico, não do processo como um todo.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Custo da Perda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  <w:t>R$ 272.950</w:t>
            </w:r>
          </w:p>
        </w:tc>
        <w:tc>
          <w:tcPr>
            <w:tcW w:type="dxa" w:w="5896"/>
          </w:tcPr>
          <w:p>
            <w:r/>
            <w:r>
              <w:rPr>
                <w:sz w:val="18"/>
              </w:rPr>
              <w:t>Valor das peças recebidas avariadas no período. Hoje esse número não existe em lugar nenhum.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% Maverick Spend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  <w:t>12,1%</w:t>
            </w:r>
          </w:p>
        </w:tc>
        <w:tc>
          <w:tcPr>
            <w:tcW w:type="dxa" w:w="5896"/>
          </w:tcPr>
          <w:p>
            <w:r/>
            <w:r>
              <w:rPr>
                <w:sz w:val="18"/>
              </w:rPr>
              <w:t>R$ 3,6 milhões comprados fora de contrato. Está dentro do referencial de mercado (abaixo de 15%), mas é dinheiro sem desconto negociado.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Ciclo de compra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  <w:t>48,5 dias</w:t>
            </w:r>
          </w:p>
        </w:tc>
        <w:tc>
          <w:tcPr>
            <w:tcW w:type="dxa" w:w="5896"/>
          </w:tcPr>
          <w:p>
            <w:r/>
            <w:r>
              <w:rPr>
                <w:sz w:val="18"/>
              </w:rPr>
              <w:t>Destes, 10,6 dias são internos (cotação e aprovação) e 38 são do fornecedor  ou seja, 22% do atraso está sob nosso controle direto.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Concentração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  <w:t>66,8%</w:t>
            </w:r>
          </w:p>
        </w:tc>
        <w:tc>
          <w:tcPr>
            <w:tcW w:type="dxa" w:w="5896"/>
          </w:tcPr>
          <w:p>
            <w:r/>
            <w:r>
              <w:rPr>
                <w:sz w:val="18"/>
              </w:rPr>
              <w:t>Dois terços do recebimento vêm de apenas 3 fornecedores. É risco de dependência.</w:t>
            </w:r>
          </w:p>
        </w:tc>
      </w:tr>
      <w:tr>
        <w:tc>
          <w:tcPr>
            <w:tcW w:type="dxa" w:w="2268"/>
          </w:tcPr>
          <w:p>
            <w:r/>
            <w:r>
              <w:rPr>
                <w:sz w:val="18"/>
              </w:rPr>
              <w:t>SKUs em ruptura</w:t>
            </w:r>
          </w:p>
        </w:tc>
        <w:tc>
          <w:tcPr>
            <w:tcW w:type="dxa" w:w="1474"/>
          </w:tcPr>
          <w:p>
            <w:r/>
            <w:r>
              <w:rPr>
                <w:sz w:val="18"/>
              </w:rPr>
              <w:t>6</w:t>
            </w:r>
          </w:p>
        </w:tc>
        <w:tc>
          <w:tcPr>
            <w:tcW w:type="dxa" w:w="5896"/>
          </w:tcPr>
          <w:p>
            <w:r/>
            <w:r>
              <w:rPr>
                <w:sz w:val="18"/>
              </w:rPr>
              <w:t>Itens que foram previstos e não receberam nenhuma unidade  a cliente vai à loja e não encontra o tamanho.</w:t>
            </w:r>
          </w:p>
        </w:tc>
      </w:tr>
    </w:tbl>
    <w:p>
      <w:pPr>
        <w:spacing w:before="280" w:after="80"/>
      </w:pPr>
      <w:r>
        <w:rPr>
          <w:b/>
          <w:color w:val="1F3864"/>
          <w:sz w:val="26"/>
        </w:rPr>
        <w:t>O que isso muda na prática</w:t>
      </w:r>
    </w:p>
    <w:p>
      <w:pPr>
        <w:pStyle w:val="ListBullet"/>
        <w:spacing w:after="60"/>
      </w:pPr>
      <w:r>
        <w:rPr>
          <w:b/>
          <w:sz w:val="21"/>
        </w:rPr>
        <w:t>A conversa com o fornecedor passa a ter placar:</w:t>
      </w:r>
      <w:r>
        <w:rPr>
          <w:sz w:val="21"/>
        </w:rPr>
        <w:t xml:space="preserve"> "seu OTIF é 61,8%, a média é 77,4%".</w:t>
      </w:r>
    </w:p>
    <w:p>
      <w:pPr>
        <w:pStyle w:val="ListBullet"/>
        <w:spacing w:after="60"/>
      </w:pPr>
      <w:r>
        <w:rPr>
          <w:b/>
          <w:sz w:val="21"/>
        </w:rPr>
        <w:t>A avaria vira dinheiro,</w:t>
      </w:r>
      <w:r>
        <w:rPr>
          <w:sz w:val="21"/>
        </w:rPr>
        <w:t xml:space="preserve"> e dinheiro vira pauta de negociação.</w:t>
      </w:r>
    </w:p>
    <w:p>
      <w:pPr>
        <w:pStyle w:val="ListBullet"/>
        <w:spacing w:after="60"/>
      </w:pPr>
      <w:r>
        <w:rPr>
          <w:b/>
          <w:sz w:val="21"/>
        </w:rPr>
        <w:t>O atraso ganha dono:</w:t>
      </w:r>
      <w:r>
        <w:rPr>
          <w:sz w:val="21"/>
        </w:rPr>
        <w:t xml:space="preserve"> separa o que é lentidão nossa do que é do fornecedor.</w:t>
      </w:r>
    </w:p>
    <w:p>
      <w:pPr>
        <w:pStyle w:val="ListBullet"/>
        <w:spacing w:after="60"/>
      </w:pPr>
      <w:r>
        <w:rPr>
          <w:b/>
          <w:sz w:val="21"/>
        </w:rPr>
        <w:t>A ruptura aparece</w:t>
      </w:r>
      <w:r>
        <w:rPr>
          <w:sz w:val="21"/>
        </w:rPr>
        <w:t xml:space="preserve"> antes de virar venda perdida.</w:t>
      </w:r>
    </w:p>
    <w:p>
      <w:pPr>
        <w:spacing w:before="280" w:after="80"/>
      </w:pPr>
      <w:r>
        <w:rPr>
          <w:b/>
          <w:color w:val="1F3864"/>
          <w:sz w:val="26"/>
        </w:rPr>
        <w:t>O que eu preciso para tirar do protótipo</w:t>
      </w:r>
    </w:p>
    <w:p>
      <w:pPr>
        <w:spacing w:after="120"/>
      </w:pPr>
      <w:r>
        <w:rPr>
          <w:b w:val="0"/>
          <w:sz w:val="21"/>
        </w:rPr>
        <w:t>O painel já existe e funciona. O que falta é substituir os dados simulados pelos reais:</w:t>
      </w:r>
    </w:p>
    <w:p>
      <w:pPr>
        <w:pStyle w:val="ListBullet"/>
        <w:spacing w:after="60"/>
      </w:pPr>
      <w:r>
        <w:rPr>
          <w:sz w:val="21"/>
        </w:rPr>
        <w:t>Acesso aos dados de SAP e ZZnet conforme a especificação do arquivo 07 (56 campos mapeados).</w:t>
      </w:r>
    </w:p>
    <w:p>
      <w:pPr>
        <w:pStyle w:val="ListBullet"/>
        <w:spacing w:after="60"/>
      </w:pPr>
      <w:r>
        <w:rPr>
          <w:sz w:val="21"/>
        </w:rPr>
        <w:t>Uma conversa de levantamento com você, para confirmar se os indicadores que escolhi são os que de fato importam para a sua rotina  é possível que metade deles não faça sentido e que falte algo óbvio que só quem vive a operação enxerga.</w:t>
      </w:r>
    </w:p>
    <w:p>
      <w:pPr>
        <w:pStyle w:val="ListBullet"/>
        <w:spacing w:after="60"/>
      </w:pPr>
      <w:r>
        <w:rPr>
          <w:sz w:val="21"/>
        </w:rPr>
        <w:t>Validação técnica da equipe de Dados sobre o modelo e as regras de cálculo.</w:t>
      </w:r>
    </w:p>
    <w:p>
      <w:pPr>
        <w:spacing w:before="280" w:after="80"/>
      </w:pPr>
      <w:r>
        <w:rPr>
          <w:b/>
          <w:color w:val="1F3864"/>
          <w:sz w:val="26"/>
        </w:rPr>
        <w:t>O ponto de atenção mais importante</w:t>
      </w:r>
    </w:p>
    <w:p>
      <w:pPr>
        <w:spacing w:after="120"/>
      </w:pPr>
      <w:r>
        <w:rPr>
          <w:b w:val="0"/>
          <w:color w:val="444444"/>
          <w:sz w:val="21"/>
        </w:rPr>
        <w:t>O indicador de avaria por SKU é o mais provável de não existir hoje na origem. Se a avaria não for registrada por cor e tamanho no recebimento, o Custo da Perda não pode ser calculado  e ele é justamente um dos números de maior impacto. Esse é o primeiro ponto a verificar com a T.I.</w:t>
      </w:r>
    </w:p>
    <w:sectPr w:rsidR="00FC693F" w:rsidRPr="0006063C" w:rsidSect="00034616">
      <w:footerReference w:type="default" r:id="rId9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C00000"/>
        <w:sz w:val="15"/>
      </w:rPr>
      <w:t>DADOS SIMULADOS — demonstração técnica. Não reflete a operação real da Azzas 2154.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