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b/>
          <w:color w:val="1F3864"/>
          <w:sz w:val="40"/>
        </w:rPr>
        <w:t>Manual de Relacionamentos do Modelo</w:t>
      </w:r>
    </w:p>
    <w:p>
      <w:pPr>
        <w:spacing w:after="200"/>
      </w:pPr>
      <w:r>
        <w:rPr>
          <w:i/>
          <w:color w:val="444444"/>
          <w:sz w:val="22"/>
        </w:rPr>
        <w:t>Como as tabelas conversam entre si  |  Claiton Santos  |  14 de agosto de 2026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val="clear" w:color="auto" w:fill="FFF2F2"/>
          </w:tcPr>
          <w:p>
            <w:r/>
            <w:r>
              <w:rPr>
                <w:b/>
                <w:color w:val="C00000"/>
                <w:sz w:val="18"/>
              </w:rPr>
              <w:t>DADOS SIMULADOS  Este material é uma demonstração técnica. Todos os números são fictícios, gerados para exemplificar a modelagem, e NÃO refletem a operação real da Azzas 2154.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b w:val="0"/>
          <w:sz w:val="21"/>
        </w:rPr>
        <w:t>O modelo segue o padrão estrela: tabelas de fato no centro, guardando os números, e tabelas de dimensão em volta, guardando os atributos pelos quais filtramos. Esse é o formato que o Power BI processa de forma mais eficiente e o que a literatura de modelagem dimensional recomenda.</w:t>
      </w:r>
    </w:p>
    <w:p>
      <w:pPr>
        <w:jc w:val="center"/>
      </w:pPr>
      <w:r/>
    </w:p>
    <w:p>
      <w:pPr>
        <w:spacing w:before="280" w:after="80"/>
      </w:pPr>
      <w:r>
        <w:rPr>
          <w:b/>
          <w:color w:val="1F3864"/>
          <w:sz w:val="26"/>
        </w:rPr>
        <w:t>As 10 relações do modelo</w:t>
      </w:r>
    </w:p>
    <w:p>
      <w:pPr>
        <w:spacing w:after="160"/>
      </w:pPr>
      <w:r>
        <w:rPr>
          <w:b w:val="0"/>
          <w:sz w:val="21"/>
        </w:rPr>
        <w:t>Todas são Muitos para Um, com filtro em sentido único (da dimensão para o fato). Nenhuma relação é bidirecional  isso evita ambiguidade de cálculo.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10"/>
            <w:shd w:val="clear" w:color="auto" w:fill="1F3864"/>
          </w:tcPr>
          <w:p>
            <w:r/>
            <w:r>
              <w:rPr>
                <w:b/>
                <w:color w:val="FFFFFF"/>
                <w:sz w:val="17"/>
              </w:rPr>
              <w:t>#</w:t>
            </w:r>
          </w:p>
        </w:tc>
        <w:tc>
          <w:tcPr>
            <w:tcW w:type="dxa" w:w="1928"/>
            <w:shd w:val="clear" w:color="auto" w:fill="1F3864"/>
          </w:tcPr>
          <w:p>
            <w:r/>
            <w:r>
              <w:rPr>
                <w:b/>
                <w:color w:val="FFFFFF"/>
                <w:sz w:val="17"/>
              </w:rPr>
              <w:t>De (fato/tabela)</w:t>
            </w:r>
          </w:p>
        </w:tc>
        <w:tc>
          <w:tcPr>
            <w:tcW w:type="dxa" w:w="1587"/>
            <w:shd w:val="clear" w:color="auto" w:fill="1F3864"/>
          </w:tcPr>
          <w:p>
            <w:r/>
            <w:r>
              <w:rPr>
                <w:b/>
                <w:color w:val="FFFFFF"/>
                <w:sz w:val="17"/>
              </w:rPr>
              <w:t>Campo</w:t>
            </w:r>
          </w:p>
        </w:tc>
        <w:tc>
          <w:tcPr>
            <w:tcW w:type="dxa" w:w="1701"/>
            <w:shd w:val="clear" w:color="auto" w:fill="1F3864"/>
          </w:tcPr>
          <w:p>
            <w:r/>
            <w:r>
              <w:rPr>
                <w:b/>
                <w:color w:val="FFFFFF"/>
                <w:sz w:val="17"/>
              </w:rPr>
              <w:t>Para (dimensão)</w:t>
            </w:r>
          </w:p>
        </w:tc>
        <w:tc>
          <w:tcPr>
            <w:tcW w:type="dxa" w:w="4365"/>
            <w:shd w:val="clear" w:color="auto" w:fill="1F3864"/>
          </w:tcPr>
          <w:p>
            <w:r/>
            <w:r>
              <w:rPr>
                <w:b/>
                <w:color w:val="FFFFFF"/>
                <w:sz w:val="17"/>
              </w:rPr>
              <w:t>Para que serve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1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Entregas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Data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Date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Permite filtrar entregas por ano, mês e estação.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2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Entregas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Marca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Dim Marca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Permite ver entregas por marca e por comprador.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3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Itens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Marca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Dim Marca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Mesma leitura no nível de produto.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4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Itens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Data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Date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Série temporal no nível de produto.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5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Grade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SKU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Dim SKU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Liga o recebimento a cor, tamanho, fornecedor e custo. É a relação que sustenta todos os indicadores financeiros.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6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Grade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Data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Date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Série temporal no nível de SKU.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7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Dim SKU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Marca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Dim Marca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Faz o SKU herdar a marca. Por isso o filtro de marca também funciona nas páginas de grade.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8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Solicitações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Marca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Dim Marca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Solicitações por marca.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9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Fato Solicitações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Data Solicitação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Date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Série temporal pela data de abertura da solicitação, não pela de entrega.</w:t>
            </w:r>
          </w:p>
        </w:tc>
      </w:tr>
      <w:tr>
        <w:tc>
          <w:tcPr>
            <w:tcW w:type="dxa" w:w="510"/>
          </w:tcPr>
          <w:p>
            <w:r/>
            <w:r>
              <w:rPr>
                <w:sz w:val="17"/>
              </w:rPr>
              <w:t>10</w:t>
            </w:r>
          </w:p>
        </w:tc>
        <w:tc>
          <w:tcPr>
            <w:tcW w:type="dxa" w:w="1928"/>
          </w:tcPr>
          <w:p>
            <w:r/>
            <w:r>
              <w:rPr>
                <w:sz w:val="17"/>
              </w:rPr>
              <w:t>Dim Marca</w:t>
            </w:r>
          </w:p>
        </w:tc>
        <w:tc>
          <w:tcPr>
            <w:tcW w:type="dxa" w:w="1587"/>
          </w:tcPr>
          <w:p>
            <w:r/>
            <w:r>
              <w:rPr>
                <w:sz w:val="17"/>
              </w:rPr>
              <w:t>Comprador</w:t>
            </w:r>
          </w:p>
        </w:tc>
        <w:tc>
          <w:tcPr>
            <w:tcW w:type="dxa" w:w="1701"/>
          </w:tcPr>
          <w:p>
            <w:r/>
            <w:r>
              <w:rPr>
                <w:sz w:val="17"/>
              </w:rPr>
              <w:t>Dim Comprador</w:t>
            </w:r>
          </w:p>
        </w:tc>
        <w:tc>
          <w:tcPr>
            <w:tcW w:type="dxa" w:w="4365"/>
          </w:tcPr>
          <w:p>
            <w:r/>
            <w:r>
              <w:rPr>
                <w:sz w:val="17"/>
              </w:rPr>
              <w:t>Faz a marca herdar o comprador responsável.</w:t>
            </w:r>
          </w:p>
        </w:tc>
      </w:tr>
    </w:tbl>
    <w:p>
      <w:pPr>
        <w:spacing w:before="280" w:after="80"/>
      </w:pPr>
      <w:r>
        <w:rPr>
          <w:b/>
          <w:color w:val="1F3864"/>
          <w:sz w:val="26"/>
        </w:rPr>
        <w:t>Decisões de modelagem que merecem explicação</w:t>
      </w:r>
    </w:p>
    <w:p>
      <w:pPr>
        <w:spacing w:before="180" w:after="40"/>
      </w:pPr>
      <w:r>
        <w:rPr>
          <w:b/>
          <w:color w:val="0F7B6C"/>
          <w:sz w:val="22"/>
        </w:rPr>
        <w:t>1. Por que existem quatro tabelas de fato e não uma só</w:t>
      </w:r>
    </w:p>
    <w:p>
      <w:pPr>
        <w:spacing w:after="120"/>
      </w:pPr>
      <w:r>
        <w:rPr>
          <w:b w:val="0"/>
          <w:sz w:val="21"/>
        </w:rPr>
        <w:t>Cada uma tem um grão diferente, ou seja, uma linha significa uma coisa diferente em cada uma: em Fato Entregas uma linha é marca × mês; em Fato Itens é produto × mês; em Fato Grade é SKU (cor e tamanho) × mês; em Fato Solicitações é uma solicitação de compra. Misturar grãos diferentes na mesma tabela é o erro de modelagem que mais gera número duplicado.</w:t>
      </w:r>
    </w:p>
    <w:p>
      <w:pPr>
        <w:spacing w:before="180" w:after="40"/>
      </w:pPr>
      <w:r>
        <w:rPr>
          <w:b/>
          <w:color w:val="0F7B6C"/>
          <w:sz w:val="22"/>
        </w:rPr>
        <w:t>2. Por que Dim SKU aponta para Dim Marca (floco de neve)</w:t>
      </w:r>
    </w:p>
    <w:p>
      <w:pPr>
        <w:spacing w:after="120"/>
      </w:pPr>
      <w:r>
        <w:rPr>
          <w:b w:val="0"/>
          <w:sz w:val="21"/>
        </w:rPr>
        <w:t>O ideal teórico seria repetir a marca dentro de Dim SKU. Optei por ligar Dim SKU a Dim Marca porque o comprador é atributo da marca, não do SKU, e assim o filtro de comprador alcança as páginas de grade sem duplicar informação. É uma exceção consciente ao modelo estrela puro.</w:t>
      </w:r>
    </w:p>
    <w:p>
      <w:pPr>
        <w:spacing w:before="180" w:after="40"/>
      </w:pPr>
      <w:r>
        <w:rPr>
          <w:b/>
          <w:color w:val="0F7B6C"/>
          <w:sz w:val="22"/>
        </w:rPr>
        <w:t>3. Por que Fato Solicitações usa a Data da Solicitação</w:t>
      </w:r>
    </w:p>
    <w:p>
      <w:pPr>
        <w:spacing w:after="120"/>
      </w:pPr>
      <w:r>
        <w:rPr>
          <w:b w:val="0"/>
          <w:sz w:val="21"/>
        </w:rPr>
        <w:t>Uma solicitação tem quatro datas (solicitação, aprovação, emissão do pedido e entrega prevista). A relação ativa usa a data da solicitação porque a pergunta central da página é "quanto tempo leva desde que a necessidade nasce". As outras três datas continuam disponíveis como colunas e são usadas para calcular os tempos de cada etapa.</w:t>
      </w:r>
    </w:p>
    <w:p>
      <w:pPr>
        <w:spacing w:before="180" w:after="40"/>
      </w:pPr>
      <w:r>
        <w:rPr>
          <w:b/>
          <w:color w:val="0F7B6C"/>
          <w:sz w:val="22"/>
        </w:rPr>
        <w:t>4. Por que a tabela Date é marcada como tabela de datas</w:t>
      </w:r>
    </w:p>
    <w:p>
      <w:pPr>
        <w:spacing w:after="120"/>
      </w:pPr>
      <w:r>
        <w:rPr>
          <w:b w:val="0"/>
          <w:sz w:val="21"/>
        </w:rPr>
        <w:t>Sem essa marcação, as funções de inteligência temporal do Power BI (comparação com ano anterior, acumulado no ano) não funcionam de forma confiável. A tabela cobre de 01/09/2021 a 31/12/2026 sem lacunas, o que também é exigência dessas funções.</w:t>
      </w:r>
    </w:p>
    <w:p>
      <w:pPr>
        <w:spacing w:before="180" w:after="40"/>
      </w:pPr>
      <w:r>
        <w:rPr>
          <w:b/>
          <w:color w:val="0F7B6C"/>
          <w:sz w:val="22"/>
        </w:rPr>
        <w:t>5. Uma assimetria importante do modelo atual</w:t>
      </w:r>
    </w:p>
    <w:p>
      <w:pPr>
        <w:spacing w:after="120"/>
      </w:pPr>
      <w:r>
        <w:rPr>
          <w:b w:val="0"/>
          <w:color w:val="444444"/>
          <w:sz w:val="21"/>
        </w:rPr>
        <w:t>Fato Entregas e Fato Grade cobrem apenas as 9 marcas de calçados; Fato Itens e Fato Solicitações cobrem as 17 marcas do grupo. Por isso o OTIF aparece vazio ao filtrar por uma marca de vestuário. Isso é intencional no protótipo  o recorte pedido foi Shoes &amp; Bags  mas precisa ser resolvido se o painel for atender o grupo inteiro.</w:t>
      </w:r>
    </w:p>
    <w:sectPr w:rsidR="00FC693F" w:rsidRPr="0006063C" w:rsidSect="00034616">
      <w:footerReference w:type="default" r:id="rId9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b/>
        <w:color w:val="C00000"/>
        <w:sz w:val="15"/>
      </w:rPr>
      <w:t>DADOS SIMULADOS — demonstração técnica. Não reflete a operação real da Azzas 2154.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